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BB44FF">
        <w:t>12/</w:t>
      </w:r>
      <w:r>
        <w:t>20</w:t>
      </w:r>
      <w:r w:rsidR="00BB44FF">
        <w:t>24</w:t>
      </w:r>
    </w:p>
    <w:p w:rsidR="00181C19" w:rsidRDefault="00181C19">
      <w:pPr>
        <w:pStyle w:val="Titel"/>
      </w:pPr>
    </w:p>
    <w:p w:rsidR="00F95EA9" w:rsidRDefault="00264AEF">
      <w:pPr>
        <w:pStyle w:val="berschrift1"/>
      </w:pPr>
      <w:proofErr w:type="spellStart"/>
      <w:r>
        <w:t>praxisforum</w:t>
      </w:r>
      <w:proofErr w:type="spellEnd"/>
      <w:r w:rsidR="005A036E">
        <w:t xml:space="preserve">: </w:t>
      </w:r>
      <w:r>
        <w:t>Wie das abstrakte Schuldanerkenntnis zur Haftungsfalle werden kann, Dr. Peter Becker, Miriam Haid</w:t>
      </w:r>
    </w:p>
    <w:p w:rsidR="00D45EBA" w:rsidRDefault="00D45EBA" w:rsidP="00D45EBA"/>
    <w:p w:rsidR="00B826B5" w:rsidRDefault="00D45EBA" w:rsidP="00D45EBA">
      <w:pPr>
        <w:rPr>
          <w:b/>
        </w:rPr>
      </w:pPr>
      <w:r w:rsidRPr="00D45EBA">
        <w:rPr>
          <w:b/>
        </w:rPr>
        <w:t xml:space="preserve">S. </w:t>
      </w:r>
      <w:r w:rsidR="00264AEF">
        <w:rPr>
          <w:b/>
        </w:rPr>
        <w:t>439</w:t>
      </w:r>
    </w:p>
    <w:p w:rsidR="00B826B5" w:rsidRDefault="00264AEF" w:rsidP="00D45EBA">
      <w:pPr>
        <w:rPr>
          <w:b/>
        </w:rPr>
      </w:pPr>
      <w:r w:rsidRPr="00264AEF">
        <w:rPr>
          <w:b/>
        </w:rPr>
        <w:t>§ 2 Deklaratorisches Schuldanerkenntnis</w:t>
      </w:r>
      <w:r w:rsidR="00B826B5" w:rsidRPr="00B826B5">
        <w:rPr>
          <w:b/>
        </w:rPr>
        <w:t>:</w:t>
      </w:r>
    </w:p>
    <w:p w:rsidR="00264AEF" w:rsidRDefault="00264AEF" w:rsidP="00264AEF">
      <w:pPr>
        <w:jc w:val="both"/>
      </w:pPr>
      <w:r w:rsidRPr="00264AEF">
        <w:t>(1) Es wird anerkannt, dass die besicherte Verbindlichkeit durch</w:t>
      </w:r>
      <w:r>
        <w:t xml:space="preserve"> </w:t>
      </w:r>
      <w:r w:rsidRPr="00264AEF">
        <w:t>eine vors</w:t>
      </w:r>
      <w:r>
        <w:t>ä</w:t>
      </w:r>
      <w:r w:rsidRPr="00264AEF">
        <w:t>tzlich begangene unerlaubte Handlung und ohne rechtfertigenden</w:t>
      </w:r>
      <w:r>
        <w:t xml:space="preserve"> </w:t>
      </w:r>
      <w:r w:rsidRPr="00264AEF">
        <w:t>Grund zustande gekommen ist. Diese Forderungsattribute</w:t>
      </w:r>
      <w:r>
        <w:t xml:space="preserve"> </w:t>
      </w:r>
      <w:r w:rsidRPr="00264AEF">
        <w:t>stehen somit außer Streit.</w:t>
      </w:r>
    </w:p>
    <w:p w:rsidR="00264AEF" w:rsidRPr="00264AEF" w:rsidRDefault="00264AEF" w:rsidP="00264AEF">
      <w:pPr>
        <w:jc w:val="both"/>
      </w:pPr>
    </w:p>
    <w:p w:rsidR="00264AEF" w:rsidRDefault="00264AEF" w:rsidP="00264AEF">
      <w:pPr>
        <w:jc w:val="both"/>
      </w:pPr>
      <w:r w:rsidRPr="00264AEF">
        <w:t>(2) Der Erschienene erkennt schließlich an, aus vors</w:t>
      </w:r>
      <w:r>
        <w:t>ä</w:t>
      </w:r>
      <w:r w:rsidRPr="00264AEF">
        <w:t>tzlich</w:t>
      </w:r>
      <w:r>
        <w:t xml:space="preserve"> </w:t>
      </w:r>
      <w:r w:rsidRPr="00264AEF">
        <w:t>begangener unerlaubter Handlung einen sofort f</w:t>
      </w:r>
      <w:r>
        <w:t>ä</w:t>
      </w:r>
      <w:r w:rsidRPr="00264AEF">
        <w:t>lligen Geldbetrag</w:t>
      </w:r>
      <w:r>
        <w:t xml:space="preserve"> </w:t>
      </w:r>
      <w:r w:rsidRPr="00264AEF">
        <w:t xml:space="preserve">i. H. v. … </w:t>
      </w:r>
      <w:r>
        <w:t>€</w:t>
      </w:r>
      <w:r w:rsidRPr="00264AEF">
        <w:t xml:space="preserve"> nebst Zinsen hieraus i. H. v. 5 Prozentpunkten</w:t>
      </w:r>
      <w:r>
        <w:t xml:space="preserve"> ü</w:t>
      </w:r>
      <w:r w:rsidRPr="00264AEF">
        <w:t>ber dem jeweiligen Basiszinssatz gem</w:t>
      </w:r>
      <w:r>
        <w:t>ä</w:t>
      </w:r>
      <w:r w:rsidRPr="00264AEF">
        <w:t>ß § 247 BGB</w:t>
      </w:r>
      <w:r>
        <w:t xml:space="preserve"> </w:t>
      </w:r>
      <w:r w:rsidRPr="00264AEF">
        <w:t>j</w:t>
      </w:r>
      <w:r>
        <w:t>ä</w:t>
      </w:r>
      <w:r w:rsidRPr="00264AEF">
        <w:t xml:space="preserve">hrlich </w:t>
      </w:r>
      <w:proofErr w:type="gramStart"/>
      <w:r w:rsidRPr="00264AEF">
        <w:t>seit dem</w:t>
      </w:r>
      <w:proofErr w:type="gramEnd"/>
      <w:r w:rsidRPr="00264AEF">
        <w:t xml:space="preserve"> …</w:t>
      </w:r>
      <w:r>
        <w:t xml:space="preserve"> </w:t>
      </w:r>
      <w:r w:rsidRPr="00264AEF">
        <w:t>/nebst Zinsen hieraus i. H. v. vier vom</w:t>
      </w:r>
      <w:r>
        <w:t xml:space="preserve"> </w:t>
      </w:r>
      <w:r w:rsidRPr="00264AEF">
        <w:t>Hundert f</w:t>
      </w:r>
      <w:r>
        <w:t>ü</w:t>
      </w:r>
      <w:r w:rsidRPr="00264AEF">
        <w:t>r das Jahr seit dem … zu schulden. Ggf.: Alle</w:t>
      </w:r>
      <w:r>
        <w:t xml:space="preserve"> </w:t>
      </w:r>
      <w:r w:rsidRPr="00264AEF">
        <w:t>bekannten und unbekannten Einwendungen, die sich nicht aus</w:t>
      </w:r>
      <w:r w:rsidR="00672315">
        <w:t xml:space="preserve"> </w:t>
      </w:r>
      <w:r w:rsidRPr="00264AEF">
        <w:t>diesem Schuldanerkenntnis ergeben, sind ausgeschlossen. Es</w:t>
      </w:r>
      <w:r w:rsidR="00672315">
        <w:t xml:space="preserve"> </w:t>
      </w:r>
      <w:r w:rsidRPr="00264AEF">
        <w:t>werden jedoch folgende Einwendungen vorbehalten: … Vorstehendes</w:t>
      </w:r>
      <w:r w:rsidR="00672315">
        <w:t xml:space="preserve"> </w:t>
      </w:r>
      <w:r w:rsidRPr="00264AEF">
        <w:t>Schuldanerkenntnis erfolgt deklaratorisch (deklaratorisches</w:t>
      </w:r>
      <w:r w:rsidR="00672315">
        <w:t xml:space="preserve"> </w:t>
      </w:r>
      <w:r w:rsidRPr="00264AEF">
        <w:t>Schuldanerkenntnis).</w:t>
      </w:r>
    </w:p>
    <w:p w:rsidR="00672315" w:rsidRPr="00264AEF" w:rsidRDefault="00672315" w:rsidP="00264AEF">
      <w:pPr>
        <w:jc w:val="both"/>
      </w:pPr>
    </w:p>
    <w:p w:rsidR="00264AEF" w:rsidRDefault="00264AEF" w:rsidP="00264AEF">
      <w:pPr>
        <w:jc w:val="both"/>
      </w:pPr>
      <w:r w:rsidRPr="00264AEF">
        <w:t>Der Notar hat gem</w:t>
      </w:r>
      <w:r w:rsidR="00672315">
        <w:t>ä</w:t>
      </w:r>
      <w:r w:rsidRPr="00264AEF">
        <w:t>ß § 175 Abs. 2 InsO auf die Rechtsfolgen des</w:t>
      </w:r>
      <w:r w:rsidR="00672315">
        <w:t xml:space="preserve"> </w:t>
      </w:r>
      <w:r w:rsidRPr="00264AEF">
        <w:t>§ 302 InsO und die M</w:t>
      </w:r>
      <w:r w:rsidR="00672315">
        <w:t>ö</w:t>
      </w:r>
      <w:r w:rsidRPr="00264AEF">
        <w:t>glichkeit des Widerspruchs hingewiesen.</w:t>
      </w:r>
      <w:r w:rsidR="00672315">
        <w:t xml:space="preserve"> </w:t>
      </w:r>
      <w:r w:rsidRPr="00264AEF">
        <w:t>Er hat weiter darauf aufmerksam gemacht, dass der Gl</w:t>
      </w:r>
      <w:r w:rsidR="00672315">
        <w:t>ä</w:t>
      </w:r>
      <w:r w:rsidRPr="00264AEF">
        <w:t>ubiger die</w:t>
      </w:r>
      <w:r w:rsidR="00672315">
        <w:t xml:space="preserve"> </w:t>
      </w:r>
      <w:r w:rsidRPr="00264AEF">
        <w:t>entsprechende Forderung unter Angabe des Forderungsattributs</w:t>
      </w:r>
      <w:r w:rsidR="00672315">
        <w:t xml:space="preserve"> </w:t>
      </w:r>
      <w:r w:rsidRPr="00264AEF">
        <w:t>nach § 174 Abs. 2 InsO in einem m</w:t>
      </w:r>
      <w:r w:rsidR="00672315">
        <w:t>ö</w:t>
      </w:r>
      <w:r w:rsidRPr="00264AEF">
        <w:t>glichen Insolvenzverfahren</w:t>
      </w:r>
      <w:r w:rsidR="00672315">
        <w:t xml:space="preserve"> </w:t>
      </w:r>
      <w:r w:rsidRPr="00264AEF">
        <w:t>anzumelden hat, um die Restschuldbefreiung insoweit zu vermeiden</w:t>
      </w:r>
      <w:r w:rsidR="00672315">
        <w:t xml:space="preserve"> </w:t>
      </w:r>
      <w:r w:rsidRPr="00264AEF">
        <w:t>(§ 302 InsO). Er hat weiter auf die Vorschrift des § 850f</w:t>
      </w:r>
      <w:r w:rsidR="00672315">
        <w:t xml:space="preserve"> </w:t>
      </w:r>
      <w:r w:rsidRPr="00264AEF">
        <w:t>Abs. 2 ZPO hingewiesen.</w:t>
      </w:r>
    </w:p>
    <w:p w:rsidR="00672315" w:rsidRPr="00264AEF" w:rsidRDefault="00672315" w:rsidP="00264AEF">
      <w:pPr>
        <w:jc w:val="both"/>
      </w:pPr>
    </w:p>
    <w:p w:rsidR="00264AEF" w:rsidRDefault="00264AEF" w:rsidP="00264AEF">
      <w:pPr>
        <w:jc w:val="both"/>
      </w:pPr>
      <w:r w:rsidRPr="00264AEF">
        <w:t>Vorsorglich erk</w:t>
      </w:r>
      <w:r w:rsidR="00672315">
        <w:t>lä</w:t>
      </w:r>
      <w:r w:rsidRPr="00264AEF">
        <w:t>rt der Erschienene hiermit (unwiderruflich) seine</w:t>
      </w:r>
      <w:r w:rsidR="00672315">
        <w:t xml:space="preserve"> </w:t>
      </w:r>
      <w:r w:rsidRPr="00264AEF">
        <w:t>Zustimmung zu einer gem</w:t>
      </w:r>
      <w:r w:rsidR="00672315">
        <w:t>ä</w:t>
      </w:r>
      <w:r w:rsidRPr="00264AEF">
        <w:t>ß § 850f Abs. 2 ZPO privilegierten</w:t>
      </w:r>
      <w:r w:rsidR="00672315">
        <w:t xml:space="preserve"> </w:t>
      </w:r>
      <w:r w:rsidRPr="00264AEF">
        <w:t>Vollstreckung.</w:t>
      </w:r>
    </w:p>
    <w:p w:rsidR="00672315" w:rsidRPr="00264AEF" w:rsidRDefault="00672315" w:rsidP="00264AEF">
      <w:pPr>
        <w:jc w:val="both"/>
      </w:pPr>
    </w:p>
    <w:p w:rsidR="00B826B5" w:rsidRDefault="00264AEF" w:rsidP="00264AEF">
      <w:pPr>
        <w:jc w:val="both"/>
      </w:pPr>
      <w:r w:rsidRPr="00264AEF">
        <w:t>(3) In Ansehung dieses Geldbetrags nebst Zinsen unterwerfe ich</w:t>
      </w:r>
      <w:r w:rsidR="00672315">
        <w:t xml:space="preserve"> </w:t>
      </w:r>
      <w:r w:rsidRPr="00264AEF">
        <w:t>mich gegen</w:t>
      </w:r>
      <w:r w:rsidR="00672315">
        <w:t>ü</w:t>
      </w:r>
      <w:r w:rsidRPr="00264AEF">
        <w:t>ber den Genannten – als Mitgl</w:t>
      </w:r>
      <w:r w:rsidR="00672315">
        <w:t>ä</w:t>
      </w:r>
      <w:r w:rsidRPr="00264AEF">
        <w:t>ubigern gem</w:t>
      </w:r>
      <w:r w:rsidR="00672315">
        <w:t>ä</w:t>
      </w:r>
      <w:r w:rsidRPr="00264AEF">
        <w:t>ß § 432</w:t>
      </w:r>
      <w:r w:rsidR="00672315">
        <w:t xml:space="preserve"> </w:t>
      </w:r>
      <w:r w:rsidRPr="00264AEF">
        <w:t>BGB – der</w:t>
      </w:r>
      <w:r w:rsidR="00672315">
        <w:t xml:space="preserve"> </w:t>
      </w:r>
    </w:p>
    <w:p w:rsidR="00264AEF" w:rsidRDefault="00264AEF" w:rsidP="00264AEF">
      <w:pPr>
        <w:jc w:val="both"/>
      </w:pPr>
    </w:p>
    <w:p w:rsidR="00264AEF" w:rsidRPr="00672315" w:rsidRDefault="00264AEF" w:rsidP="00264AEF">
      <w:pPr>
        <w:jc w:val="both"/>
        <w:rPr>
          <w:b/>
        </w:rPr>
      </w:pPr>
      <w:r w:rsidRPr="00672315">
        <w:rPr>
          <w:b/>
        </w:rPr>
        <w:t>sofortigen Zwangsvollstreckung</w:t>
      </w:r>
    </w:p>
    <w:p w:rsidR="00672315" w:rsidRDefault="00672315" w:rsidP="00264AEF">
      <w:pPr>
        <w:jc w:val="both"/>
      </w:pPr>
    </w:p>
    <w:p w:rsidR="00672315" w:rsidRDefault="00264AEF" w:rsidP="00264AEF">
      <w:pPr>
        <w:jc w:val="both"/>
      </w:pPr>
      <w:r w:rsidRPr="00264AEF">
        <w:t>aus dieser Urkunde in mein gesamtes Verm</w:t>
      </w:r>
      <w:r w:rsidR="00672315">
        <w:t>ö</w:t>
      </w:r>
      <w:r w:rsidRPr="00264AEF">
        <w:t>gen. Im Hinblick</w:t>
      </w:r>
      <w:r w:rsidR="00672315">
        <w:t xml:space="preserve"> </w:t>
      </w:r>
      <w:r w:rsidRPr="00264AEF">
        <w:t>auf den vollstreckungsrechtlichen Bestimmtheitsgrundsatz gelten</w:t>
      </w:r>
      <w:r w:rsidR="00672315">
        <w:t xml:space="preserve"> </w:t>
      </w:r>
      <w:r w:rsidRPr="00264AEF">
        <w:t xml:space="preserve">Zinsen </w:t>
      </w:r>
      <w:proofErr w:type="gramStart"/>
      <w:r w:rsidRPr="00264AEF">
        <w:t>seit dem</w:t>
      </w:r>
      <w:proofErr w:type="gramEnd"/>
      <w:r w:rsidRPr="00264AEF">
        <w:t xml:space="preserve"> … als geschuldet. Ich bin mit der jederzeitigen</w:t>
      </w:r>
      <w:r w:rsidR="00672315">
        <w:t xml:space="preserve"> </w:t>
      </w:r>
      <w:r w:rsidRPr="00264AEF">
        <w:t>Erteilung einer (gemeinsamen) vollstreckbaren Ausfertigung</w:t>
      </w:r>
      <w:r w:rsidR="00672315">
        <w:t xml:space="preserve"> </w:t>
      </w:r>
      <w:r w:rsidRPr="00264AEF">
        <w:t>an den oben genannten Gl</w:t>
      </w:r>
      <w:r w:rsidR="00672315">
        <w:t>ä</w:t>
      </w:r>
      <w:r w:rsidRPr="00264AEF">
        <w:t>ubiger ohne weitere</w:t>
      </w:r>
      <w:r w:rsidR="00672315">
        <w:t xml:space="preserve"> </w:t>
      </w:r>
      <w:r w:rsidRPr="00264AEF">
        <w:t>Nachweise einverstanden. Eine Beweislastumkehr ist damit</w:t>
      </w:r>
      <w:r w:rsidR="00672315">
        <w:t xml:space="preserve"> </w:t>
      </w:r>
      <w:r w:rsidRPr="00264AEF">
        <w:t xml:space="preserve">nicht verbunden. Ich weise den </w:t>
      </w:r>
      <w:proofErr w:type="spellStart"/>
      <w:r w:rsidRPr="00264AEF">
        <w:t>Urkundsnotar</w:t>
      </w:r>
      <w:proofErr w:type="spellEnd"/>
      <w:r w:rsidRPr="00264AEF">
        <w:t xml:space="preserve"> an, dem Gl</w:t>
      </w:r>
      <w:r w:rsidR="00672315">
        <w:t>ä</w:t>
      </w:r>
      <w:r w:rsidRPr="00264AEF">
        <w:t>ubiger</w:t>
      </w:r>
      <w:r w:rsidR="00672315">
        <w:t xml:space="preserve"> </w:t>
      </w:r>
      <w:r w:rsidRPr="00264AEF">
        <w:t>sofort eine</w:t>
      </w:r>
      <w:r w:rsidR="00672315">
        <w:t xml:space="preserve"> </w:t>
      </w:r>
    </w:p>
    <w:p w:rsidR="00672315" w:rsidRDefault="00672315" w:rsidP="00264AEF">
      <w:pPr>
        <w:jc w:val="both"/>
      </w:pPr>
    </w:p>
    <w:p w:rsidR="00264AEF" w:rsidRPr="00264AEF" w:rsidRDefault="00264AEF" w:rsidP="00264AEF">
      <w:pPr>
        <w:jc w:val="both"/>
      </w:pPr>
      <w:r w:rsidRPr="00264AEF">
        <w:t>a) Ausfertigung,</w:t>
      </w:r>
    </w:p>
    <w:p w:rsidR="00264AEF" w:rsidRPr="00264AEF" w:rsidRDefault="00264AEF" w:rsidP="00264AEF">
      <w:pPr>
        <w:jc w:val="both"/>
      </w:pPr>
      <w:r w:rsidRPr="00264AEF">
        <w:t>b) vollstreckbare Ausfertigung dieser Urkunde zu erteilen und</w:t>
      </w:r>
    </w:p>
    <w:p w:rsidR="00264AEF" w:rsidRDefault="00264AEF" w:rsidP="00264AEF">
      <w:pPr>
        <w:jc w:val="both"/>
      </w:pPr>
      <w:r w:rsidRPr="00264AEF">
        <w:t xml:space="preserve">c) mir eine beglaubigte Abschrift zu </w:t>
      </w:r>
      <w:r w:rsidR="00672315">
        <w:t>ü</w:t>
      </w:r>
      <w:r w:rsidRPr="00264AEF">
        <w:t>bermitteln.</w:t>
      </w:r>
    </w:p>
    <w:p w:rsidR="00B826B5" w:rsidRDefault="00B826B5" w:rsidP="001C2752"/>
    <w:p w:rsidR="00B826B5" w:rsidRDefault="00DA781C" w:rsidP="000651D1">
      <w:pPr>
        <w:rPr>
          <w:b/>
        </w:rPr>
      </w:pPr>
      <w:proofErr w:type="spellStart"/>
      <w:r>
        <w:rPr>
          <w:b/>
        </w:rPr>
        <w:t>rechtsprechung</w:t>
      </w:r>
      <w:proofErr w:type="spellEnd"/>
      <w:r>
        <w:rPr>
          <w:b/>
        </w:rPr>
        <w:t>: Zur Löschung eines mit einer sog. Wegzugsklausel versehenen Wohnungsrechts, Dr. Steffen Ott</w:t>
      </w:r>
    </w:p>
    <w:p w:rsidR="00DA781C" w:rsidRPr="000651D1" w:rsidRDefault="00DA781C" w:rsidP="000651D1">
      <w:pPr>
        <w:rPr>
          <w:b/>
        </w:rPr>
      </w:pPr>
    </w:p>
    <w:p w:rsidR="00B7716C" w:rsidRDefault="00B7716C" w:rsidP="00391DFC">
      <w:pPr>
        <w:autoSpaceDE w:val="0"/>
        <w:autoSpaceDN w:val="0"/>
        <w:adjustRightInd w:val="0"/>
        <w:rPr>
          <w:rFonts w:cs="AdvPS_SSSB"/>
          <w:b/>
          <w:szCs w:val="22"/>
        </w:rPr>
      </w:pPr>
      <w:r>
        <w:rPr>
          <w:rFonts w:cs="AdvPS_SSSB"/>
          <w:b/>
          <w:szCs w:val="22"/>
        </w:rPr>
        <w:t xml:space="preserve">S. </w:t>
      </w:r>
      <w:r w:rsidR="00DA781C">
        <w:rPr>
          <w:rFonts w:cs="AdvPS_SSSB"/>
          <w:b/>
          <w:szCs w:val="22"/>
        </w:rPr>
        <w:t>442</w:t>
      </w:r>
    </w:p>
    <w:p w:rsidR="00B7716C" w:rsidRDefault="00DA781C" w:rsidP="00B7716C">
      <w:pPr>
        <w:autoSpaceDE w:val="0"/>
        <w:autoSpaceDN w:val="0"/>
        <w:adjustRightInd w:val="0"/>
        <w:rPr>
          <w:rFonts w:cs="AdvPS_SSSB"/>
          <w:b/>
          <w:szCs w:val="22"/>
        </w:rPr>
      </w:pPr>
      <w:r w:rsidRPr="00DA781C">
        <w:rPr>
          <w:rFonts w:cs="AdvPS_SSSB"/>
          <w:b/>
          <w:szCs w:val="22"/>
        </w:rPr>
        <w:t>Wegzugsklausel Wohnungsrecht:</w:t>
      </w:r>
    </w:p>
    <w:p w:rsidR="00DA781C" w:rsidRDefault="00DA781C" w:rsidP="00DA781C">
      <w:pPr>
        <w:autoSpaceDE w:val="0"/>
        <w:autoSpaceDN w:val="0"/>
        <w:adjustRightInd w:val="0"/>
        <w:jc w:val="both"/>
        <w:rPr>
          <w:rFonts w:cs="AdvPS_SSSB"/>
          <w:szCs w:val="22"/>
        </w:rPr>
      </w:pPr>
      <w:r w:rsidRPr="00DA781C">
        <w:rPr>
          <w:rFonts w:cs="AdvPS_SSSB"/>
          <w:szCs w:val="22"/>
        </w:rPr>
        <w:t>Das</w:t>
      </w:r>
      <w:r>
        <w:rPr>
          <w:rFonts w:cs="AdvPS_SSSB"/>
          <w:szCs w:val="22"/>
        </w:rPr>
        <w:t xml:space="preserve"> </w:t>
      </w:r>
      <w:r w:rsidRPr="00DA781C">
        <w:rPr>
          <w:rFonts w:cs="AdvPS_SSSB"/>
          <w:szCs w:val="22"/>
        </w:rPr>
        <w:t>Wohnungsrecht erlischt f</w:t>
      </w:r>
      <w:r>
        <w:rPr>
          <w:rFonts w:cs="AdvPS_SSSB"/>
          <w:szCs w:val="22"/>
        </w:rPr>
        <w:t>ü</w:t>
      </w:r>
      <w:r w:rsidRPr="00DA781C">
        <w:rPr>
          <w:rFonts w:cs="AdvPS_SSSB"/>
          <w:szCs w:val="22"/>
        </w:rPr>
        <w:t>r den Berechtigten, wenn die ihm</w:t>
      </w:r>
      <w:r>
        <w:rPr>
          <w:rFonts w:cs="AdvPS_SSSB"/>
          <w:szCs w:val="22"/>
        </w:rPr>
        <w:t xml:space="preserve"> ü</w:t>
      </w:r>
      <w:r w:rsidRPr="00DA781C">
        <w:rPr>
          <w:rFonts w:cs="AdvPS_SSSB"/>
          <w:szCs w:val="22"/>
        </w:rPr>
        <w:t>berlassenen R</w:t>
      </w:r>
      <w:r>
        <w:rPr>
          <w:rFonts w:cs="AdvPS_SSSB"/>
          <w:szCs w:val="22"/>
        </w:rPr>
        <w:t>ä</w:t>
      </w:r>
      <w:r w:rsidRPr="00DA781C">
        <w:rPr>
          <w:rFonts w:cs="AdvPS_SSSB"/>
          <w:szCs w:val="22"/>
        </w:rPr>
        <w:t>ume ausweislich einer beh</w:t>
      </w:r>
      <w:r>
        <w:rPr>
          <w:rFonts w:cs="AdvPS_SSSB"/>
          <w:szCs w:val="22"/>
        </w:rPr>
        <w:t>ö</w:t>
      </w:r>
      <w:r w:rsidRPr="00DA781C">
        <w:rPr>
          <w:rFonts w:cs="AdvPS_SSSB"/>
          <w:szCs w:val="22"/>
        </w:rPr>
        <w:t>rdlichen Meldebescheinigung</w:t>
      </w:r>
      <w:r>
        <w:rPr>
          <w:rFonts w:cs="AdvPS_SSSB"/>
          <w:szCs w:val="22"/>
        </w:rPr>
        <w:t xml:space="preserve"> </w:t>
      </w:r>
      <w:r w:rsidRPr="00DA781C">
        <w:rPr>
          <w:rFonts w:cs="AdvPS_SSSB"/>
          <w:szCs w:val="22"/>
        </w:rPr>
        <w:t>nicht mehr seine Hauptwohnung [alternativ: weder</w:t>
      </w:r>
      <w:r>
        <w:rPr>
          <w:rFonts w:cs="AdvPS_SSSB"/>
          <w:szCs w:val="22"/>
        </w:rPr>
        <w:t xml:space="preserve"> </w:t>
      </w:r>
      <w:r w:rsidRPr="00DA781C">
        <w:rPr>
          <w:rFonts w:cs="AdvPS_SSSB"/>
          <w:szCs w:val="22"/>
        </w:rPr>
        <w:t>seine Hauptwohnung noch seine Nebenwohnung] im Sinne</w:t>
      </w:r>
      <w:r>
        <w:rPr>
          <w:rFonts w:cs="AdvPS_SSSB"/>
          <w:szCs w:val="22"/>
        </w:rPr>
        <w:t xml:space="preserve"> </w:t>
      </w:r>
      <w:r w:rsidRPr="00DA781C">
        <w:rPr>
          <w:rFonts w:cs="AdvPS_SSSB"/>
          <w:szCs w:val="22"/>
        </w:rPr>
        <w:t>des einschl</w:t>
      </w:r>
      <w:r>
        <w:rPr>
          <w:rFonts w:cs="AdvPS_SSSB"/>
          <w:szCs w:val="22"/>
        </w:rPr>
        <w:t>ä</w:t>
      </w:r>
      <w:r w:rsidRPr="00DA781C">
        <w:rPr>
          <w:rFonts w:cs="AdvPS_SSSB"/>
          <w:szCs w:val="22"/>
        </w:rPr>
        <w:t>gigen</w:t>
      </w:r>
      <w:r>
        <w:rPr>
          <w:rFonts w:cs="AdvPS_SSSB"/>
          <w:szCs w:val="22"/>
        </w:rPr>
        <w:t xml:space="preserve"> </w:t>
      </w:r>
      <w:r w:rsidRPr="00DA781C">
        <w:rPr>
          <w:rFonts w:cs="AdvPS_SSSB"/>
          <w:szCs w:val="22"/>
        </w:rPr>
        <w:t>Meldegesetzes sind.</w:t>
      </w:r>
    </w:p>
    <w:p w:rsidR="00DA781C" w:rsidRPr="00DA781C" w:rsidRDefault="00DA781C" w:rsidP="00DA781C">
      <w:pPr>
        <w:autoSpaceDE w:val="0"/>
        <w:autoSpaceDN w:val="0"/>
        <w:adjustRightInd w:val="0"/>
        <w:jc w:val="both"/>
        <w:rPr>
          <w:rFonts w:cs="AdvPS_SSSB"/>
          <w:szCs w:val="22"/>
        </w:rPr>
      </w:pPr>
    </w:p>
    <w:p w:rsidR="00DA781C" w:rsidRDefault="00DA781C" w:rsidP="00DA781C">
      <w:pPr>
        <w:autoSpaceDE w:val="0"/>
        <w:autoSpaceDN w:val="0"/>
        <w:adjustRightInd w:val="0"/>
        <w:jc w:val="both"/>
        <w:rPr>
          <w:rFonts w:cs="AdvPS_SSSB"/>
          <w:szCs w:val="22"/>
        </w:rPr>
      </w:pPr>
      <w:r w:rsidRPr="00DA781C">
        <w:rPr>
          <w:rFonts w:cs="AdvPS_SSSB"/>
          <w:szCs w:val="22"/>
        </w:rPr>
        <w:lastRenderedPageBreak/>
        <w:t>Der Eigent</w:t>
      </w:r>
      <w:r>
        <w:rPr>
          <w:rFonts w:cs="AdvPS_SSSB"/>
          <w:szCs w:val="22"/>
        </w:rPr>
        <w:t>ü</w:t>
      </w:r>
      <w:r w:rsidRPr="00DA781C">
        <w:rPr>
          <w:rFonts w:cs="AdvPS_SSSB"/>
          <w:szCs w:val="22"/>
        </w:rPr>
        <w:t>mer bewilligt und der Berechtigte beantragt die Eintragung</w:t>
      </w:r>
      <w:r>
        <w:rPr>
          <w:rFonts w:cs="AdvPS_SSSB"/>
          <w:szCs w:val="22"/>
        </w:rPr>
        <w:t xml:space="preserve"> </w:t>
      </w:r>
      <w:r w:rsidRPr="00DA781C">
        <w:rPr>
          <w:rFonts w:cs="AdvPS_SSSB"/>
          <w:szCs w:val="22"/>
        </w:rPr>
        <w:t>eines aufl</w:t>
      </w:r>
      <w:r>
        <w:rPr>
          <w:rFonts w:cs="AdvPS_SSSB"/>
          <w:szCs w:val="22"/>
        </w:rPr>
        <w:t>ö</w:t>
      </w:r>
      <w:r w:rsidRPr="00DA781C">
        <w:rPr>
          <w:rFonts w:cs="AdvPS_SSSB"/>
          <w:szCs w:val="22"/>
        </w:rPr>
        <w:t>send bedingten Wohnungsrechts mit vorstehendem</w:t>
      </w:r>
      <w:r>
        <w:rPr>
          <w:rFonts w:cs="AdvPS_SSSB"/>
          <w:szCs w:val="22"/>
        </w:rPr>
        <w:t xml:space="preserve"> </w:t>
      </w:r>
      <w:r w:rsidRPr="00DA781C">
        <w:rPr>
          <w:rFonts w:cs="AdvPS_SSSB"/>
          <w:szCs w:val="22"/>
        </w:rPr>
        <w:t>Inhalt im Grundbuch mit dem Vermerk, l</w:t>
      </w:r>
      <w:r>
        <w:rPr>
          <w:rFonts w:cs="AdvPS_SSSB"/>
          <w:szCs w:val="22"/>
        </w:rPr>
        <w:t>ö</w:t>
      </w:r>
      <w:r w:rsidRPr="00DA781C">
        <w:rPr>
          <w:rFonts w:cs="AdvPS_SSSB"/>
          <w:szCs w:val="22"/>
        </w:rPr>
        <w:t>schbar bei</w:t>
      </w:r>
      <w:r>
        <w:rPr>
          <w:rFonts w:cs="AdvPS_SSSB"/>
          <w:szCs w:val="22"/>
        </w:rPr>
        <w:t xml:space="preserve"> </w:t>
      </w:r>
      <w:r w:rsidRPr="00DA781C">
        <w:rPr>
          <w:rFonts w:cs="AdvPS_SSSB"/>
          <w:szCs w:val="22"/>
        </w:rPr>
        <w:t>Todesnachweis und mit dem Vermerk, l</w:t>
      </w:r>
      <w:r>
        <w:rPr>
          <w:rFonts w:cs="AdvPS_SSSB"/>
          <w:szCs w:val="22"/>
        </w:rPr>
        <w:t>ö</w:t>
      </w:r>
      <w:r w:rsidRPr="00DA781C">
        <w:rPr>
          <w:rFonts w:cs="AdvPS_SSSB"/>
          <w:szCs w:val="22"/>
        </w:rPr>
        <w:t>schbar bei Nachweis des</w:t>
      </w:r>
      <w:r>
        <w:rPr>
          <w:rFonts w:cs="AdvPS_SSSB"/>
          <w:szCs w:val="22"/>
        </w:rPr>
        <w:t xml:space="preserve"> </w:t>
      </w:r>
      <w:r w:rsidRPr="00DA781C">
        <w:rPr>
          <w:rFonts w:cs="AdvPS_SSSB"/>
          <w:szCs w:val="22"/>
        </w:rPr>
        <w:t>Wegfalls als Hauptwohnung [alternativ: als Hauptwohnung und</w:t>
      </w:r>
      <w:r>
        <w:rPr>
          <w:rFonts w:cs="AdvPS_SSSB"/>
          <w:szCs w:val="22"/>
        </w:rPr>
        <w:t xml:space="preserve"> </w:t>
      </w:r>
      <w:r w:rsidRPr="00DA781C">
        <w:rPr>
          <w:rFonts w:cs="AdvPS_SSSB"/>
          <w:szCs w:val="22"/>
        </w:rPr>
        <w:t>Nebenwohnung].</w:t>
      </w:r>
      <w:r>
        <w:rPr>
          <w:rStyle w:val="Funotenzeichen"/>
          <w:rFonts w:cs="AdvPS_SSSB"/>
          <w:szCs w:val="22"/>
        </w:rPr>
        <w:footnoteReference w:id="1"/>
      </w:r>
    </w:p>
    <w:p w:rsidR="00DA781C" w:rsidRPr="00DA781C" w:rsidRDefault="00DA781C" w:rsidP="00DA781C">
      <w:pPr>
        <w:autoSpaceDE w:val="0"/>
        <w:autoSpaceDN w:val="0"/>
        <w:adjustRightInd w:val="0"/>
        <w:jc w:val="both"/>
        <w:rPr>
          <w:rFonts w:cs="AdvPS_SSSB"/>
          <w:szCs w:val="22"/>
        </w:rPr>
      </w:pPr>
    </w:p>
    <w:p w:rsidR="001C0315" w:rsidRPr="00E36B33" w:rsidRDefault="00DA781C" w:rsidP="00DA781C">
      <w:pPr>
        <w:autoSpaceDE w:val="0"/>
        <w:autoSpaceDN w:val="0"/>
        <w:adjustRightInd w:val="0"/>
        <w:jc w:val="both"/>
        <w:rPr>
          <w:rFonts w:cs="AdvPS_SSSB"/>
          <w:szCs w:val="22"/>
        </w:rPr>
      </w:pPr>
      <w:r w:rsidRPr="00DA781C">
        <w:rPr>
          <w:rFonts w:cs="AdvPS_SSSB"/>
          <w:szCs w:val="22"/>
        </w:rPr>
        <w:t>Der Berechtigte bevollm</w:t>
      </w:r>
      <w:r>
        <w:rPr>
          <w:rFonts w:cs="AdvPS_SSSB"/>
          <w:szCs w:val="22"/>
        </w:rPr>
        <w:t>ä</w:t>
      </w:r>
      <w:r w:rsidRPr="00DA781C">
        <w:rPr>
          <w:rFonts w:cs="AdvPS_SSSB"/>
          <w:szCs w:val="22"/>
        </w:rPr>
        <w:t>chtigt hiermit den Eigent</w:t>
      </w:r>
      <w:r>
        <w:rPr>
          <w:rFonts w:cs="AdvPS_SSSB"/>
          <w:szCs w:val="22"/>
        </w:rPr>
        <w:t>ü</w:t>
      </w:r>
      <w:r w:rsidRPr="00DA781C">
        <w:rPr>
          <w:rFonts w:cs="AdvPS_SSSB"/>
          <w:szCs w:val="22"/>
        </w:rPr>
        <w:t>mer, sich bei</w:t>
      </w:r>
      <w:r>
        <w:rPr>
          <w:rFonts w:cs="AdvPS_SSSB"/>
          <w:szCs w:val="22"/>
        </w:rPr>
        <w:t xml:space="preserve"> </w:t>
      </w:r>
      <w:r w:rsidRPr="00DA781C">
        <w:rPr>
          <w:rFonts w:cs="AdvPS_SSSB"/>
          <w:szCs w:val="22"/>
        </w:rPr>
        <w:t>der zust</w:t>
      </w:r>
      <w:r>
        <w:rPr>
          <w:rFonts w:cs="AdvPS_SSSB"/>
          <w:szCs w:val="22"/>
        </w:rPr>
        <w:t>ä</w:t>
      </w:r>
      <w:r w:rsidRPr="00DA781C">
        <w:rPr>
          <w:rFonts w:cs="AdvPS_SSSB"/>
          <w:szCs w:val="22"/>
        </w:rPr>
        <w:t>ndigen Meldebeh</w:t>
      </w:r>
      <w:r>
        <w:rPr>
          <w:rFonts w:cs="AdvPS_SSSB"/>
          <w:szCs w:val="22"/>
        </w:rPr>
        <w:t>ö</w:t>
      </w:r>
      <w:r w:rsidRPr="00DA781C">
        <w:rPr>
          <w:rFonts w:cs="AdvPS_SSSB"/>
          <w:szCs w:val="22"/>
        </w:rPr>
        <w:t>rde eine Meldebescheinigung ausstellen</w:t>
      </w:r>
      <w:r>
        <w:rPr>
          <w:rFonts w:cs="AdvPS_SSSB"/>
          <w:szCs w:val="22"/>
        </w:rPr>
        <w:t xml:space="preserve"> </w:t>
      </w:r>
      <w:bookmarkStart w:id="0" w:name="_GoBack"/>
      <w:bookmarkEnd w:id="0"/>
      <w:r w:rsidRPr="00DA781C">
        <w:rPr>
          <w:rFonts w:cs="AdvPS_SSSB"/>
          <w:szCs w:val="22"/>
        </w:rPr>
        <w:t>zu lassen.</w:t>
      </w:r>
    </w:p>
    <w:sectPr w:rsidR="001C0315" w:rsidRPr="00E36B33"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 w:id="1">
    <w:p w:rsidR="00DA781C" w:rsidRDefault="00DA781C" w:rsidP="00DA781C">
      <w:pPr>
        <w:pStyle w:val="Funotentext"/>
      </w:pPr>
      <w:r>
        <w:rPr>
          <w:rStyle w:val="Funotenzeichen"/>
        </w:rPr>
        <w:footnoteRef/>
      </w:r>
      <w:r>
        <w:t xml:space="preserve"> </w:t>
      </w:r>
      <w:r w:rsidRPr="00DA781C">
        <w:t>Mehrere Vermerke k</w:t>
      </w:r>
      <w:r>
        <w:t>ö</w:t>
      </w:r>
      <w:r w:rsidRPr="00DA781C">
        <w:t>nnen nebeneinander im Grundbuch eingetragen</w:t>
      </w:r>
      <w:r>
        <w:t xml:space="preserve"> </w:t>
      </w:r>
      <w:r w:rsidRPr="00DA781C">
        <w:t xml:space="preserve">werden, </w:t>
      </w:r>
      <w:r w:rsidRPr="00DA781C">
        <w:rPr>
          <w:i/>
        </w:rPr>
        <w:t>Böttcher</w:t>
      </w:r>
      <w:r w:rsidRPr="00DA781C">
        <w:t>,</w:t>
      </w:r>
      <w:r>
        <w:t xml:space="preserve"> </w:t>
      </w:r>
      <w:proofErr w:type="spellStart"/>
      <w:r w:rsidRPr="00DA781C">
        <w:t>MittRhNotK</w:t>
      </w:r>
      <w:proofErr w:type="spellEnd"/>
      <w:r w:rsidRPr="00DA781C">
        <w:t xml:space="preserve"> 1987, 219, 224.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4AEF"/>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72315"/>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44FF"/>
    <w:rsid w:val="00BB6FE1"/>
    <w:rsid w:val="00C556A3"/>
    <w:rsid w:val="00C84CCC"/>
    <w:rsid w:val="00CE05AA"/>
    <w:rsid w:val="00CF4FB5"/>
    <w:rsid w:val="00D35965"/>
    <w:rsid w:val="00D3744E"/>
    <w:rsid w:val="00D45EBA"/>
    <w:rsid w:val="00D51D44"/>
    <w:rsid w:val="00D54FD3"/>
    <w:rsid w:val="00D664ED"/>
    <w:rsid w:val="00D919CE"/>
    <w:rsid w:val="00DA781C"/>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21F7E"/>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F6FF0-AA1B-4B7C-9CA1-658134D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2805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4</cp:revision>
  <cp:lastPrinted>2010-10-12T09:43:00Z</cp:lastPrinted>
  <dcterms:created xsi:type="dcterms:W3CDTF">2024-12-17T08:20:00Z</dcterms:created>
  <dcterms:modified xsi:type="dcterms:W3CDTF">2024-12-17T08:37:00Z</dcterms:modified>
</cp:coreProperties>
</file>