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70" w:rsidRPr="00EC1C70" w:rsidRDefault="00EC1C70" w:rsidP="00EC1C70">
      <w:pPr>
        <w:keepNext/>
        <w:keepLines/>
        <w:widowControl w:val="0"/>
        <w:tabs>
          <w:tab w:val="left" w:pos="1260"/>
          <w:tab w:val="left" w:pos="2160"/>
          <w:tab w:val="left" w:pos="3312"/>
          <w:tab w:val="left" w:pos="4464"/>
          <w:tab w:val="left" w:pos="5760"/>
        </w:tabs>
        <w:spacing w:line="320" w:lineRule="exact"/>
        <w:jc w:val="center"/>
        <w:rPr>
          <w:rFonts w:ascii="Arial" w:hAnsi="Arial" w:cs="Arial"/>
          <w:b/>
          <w:bCs/>
          <w:i/>
          <w:iCs/>
          <w:snapToGrid w:val="0"/>
          <w:sz w:val="22"/>
          <w:szCs w:val="26"/>
          <w:u w:val="single"/>
        </w:rPr>
      </w:pPr>
      <w:r w:rsidRPr="00EC1C70">
        <w:rPr>
          <w:rFonts w:ascii="Arial" w:hAnsi="Arial" w:cs="Arial"/>
          <w:b/>
          <w:bCs/>
          <w:i/>
          <w:iCs/>
          <w:snapToGrid w:val="0"/>
          <w:sz w:val="22"/>
          <w:szCs w:val="26"/>
          <w:u w:val="single"/>
        </w:rPr>
        <w:t>Schiedsklauseln in Eheverträgen:</w:t>
      </w:r>
    </w:p>
    <w:p w:rsidR="00EC1C70" w:rsidRPr="00EC1C70" w:rsidRDefault="00EC1C70" w:rsidP="00EC1C70">
      <w:pPr>
        <w:pStyle w:val="berschrift1"/>
        <w:ind w:right="0"/>
        <w:rPr>
          <w:i/>
          <w:iCs w:val="0"/>
        </w:rPr>
      </w:pPr>
      <w:r w:rsidRPr="00EC1C70">
        <w:rPr>
          <w:i/>
          <w:iCs w:val="0"/>
        </w:rPr>
        <w:t>Alle schiedsfähigen Streitigkeiten, die in Bezug auf Rechtsverhältnisse entstanden sind oder künftig entst</w:t>
      </w:r>
      <w:r w:rsidRPr="00EC1C70">
        <w:rPr>
          <w:i/>
          <w:iCs w:val="0"/>
        </w:rPr>
        <w:t>e</w:t>
      </w:r>
      <w:r w:rsidRPr="00EC1C70">
        <w:rPr>
          <w:i/>
          <w:iCs w:val="0"/>
        </w:rPr>
        <w:t>hen, die Grundlage, Gegenstand oder Folge des gegenwärtigen Vertrags sind oder die mit unserer [künftigen] Ehe und deren Beendigung zusamme</w:t>
      </w:r>
      <w:r w:rsidRPr="00EC1C70">
        <w:rPr>
          <w:i/>
          <w:iCs w:val="0"/>
        </w:rPr>
        <w:t>n</w:t>
      </w:r>
      <w:r w:rsidRPr="00EC1C70">
        <w:rPr>
          <w:i/>
          <w:iCs w:val="0"/>
        </w:rPr>
        <w:t>hängen</w:t>
      </w:r>
      <w:r w:rsidR="005F1405">
        <w:rPr>
          <w:i/>
          <w:iCs w:val="0"/>
        </w:rPr>
        <w:t>,</w:t>
      </w:r>
      <w:r w:rsidRPr="00EC1C70">
        <w:rPr>
          <w:i/>
          <w:iCs w:val="0"/>
        </w:rPr>
        <w:t xml:space="preserve"> einschließlich der schiedsfähigen Scheidungsfolgesachen, werden unter Au</w:t>
      </w:r>
      <w:r w:rsidRPr="00EC1C70">
        <w:rPr>
          <w:i/>
          <w:iCs w:val="0"/>
        </w:rPr>
        <w:t>s</w:t>
      </w:r>
      <w:r w:rsidRPr="00EC1C70">
        <w:rPr>
          <w:i/>
          <w:iCs w:val="0"/>
        </w:rPr>
        <w:t>schluss des Rechtsweges zu den staatlichen Gerichten der Entscheidung des Schlic</w:t>
      </w:r>
      <w:r w:rsidRPr="00EC1C70">
        <w:rPr>
          <w:i/>
          <w:iCs w:val="0"/>
        </w:rPr>
        <w:t>h</w:t>
      </w:r>
      <w:r w:rsidRPr="00EC1C70">
        <w:rPr>
          <w:i/>
          <w:iCs w:val="0"/>
        </w:rPr>
        <w:t xml:space="preserve">tungs- und Schiedsgerichtshofs Deutscher Notare </w:t>
      </w:r>
      <w:r w:rsidR="005F1405">
        <w:rPr>
          <w:i/>
          <w:iCs w:val="0"/>
        </w:rPr>
        <w:t xml:space="preserve">- </w:t>
      </w:r>
      <w:r w:rsidRPr="00EC1C70">
        <w:rPr>
          <w:i/>
          <w:iCs w:val="0"/>
        </w:rPr>
        <w:t>SGH</w:t>
      </w:r>
      <w:bookmarkStart w:id="0" w:name="_GoBack"/>
      <w:bookmarkEnd w:id="0"/>
      <w:r w:rsidRPr="00EC1C70">
        <w:rPr>
          <w:i/>
          <w:iCs w:val="0"/>
        </w:rPr>
        <w:t xml:space="preserve"> (nachstehend der „SGH“) u</w:t>
      </w:r>
      <w:r w:rsidRPr="00EC1C70">
        <w:rPr>
          <w:i/>
          <w:iCs w:val="0"/>
        </w:rPr>
        <w:t>n</w:t>
      </w:r>
      <w:r w:rsidRPr="00EC1C70">
        <w:rPr>
          <w:i/>
          <w:iCs w:val="0"/>
        </w:rPr>
        <w:t>terworfen.</w:t>
      </w:r>
    </w:p>
    <w:p w:rsidR="00EC1C70" w:rsidRPr="00EC1C70" w:rsidRDefault="00EC1C70" w:rsidP="00EC1C70">
      <w:pPr>
        <w:pStyle w:val="berschrift1"/>
        <w:ind w:right="0"/>
        <w:rPr>
          <w:i/>
          <w:iCs w:val="0"/>
        </w:rPr>
      </w:pPr>
      <w:r w:rsidRPr="00EC1C70">
        <w:rPr>
          <w:i/>
          <w:iCs w:val="0"/>
        </w:rPr>
        <w:t>Der Sekretär des SGH bestimmt gemäß § 317 BGB das auf das Schiedsverfahren a</w:t>
      </w:r>
      <w:r w:rsidRPr="00EC1C70">
        <w:rPr>
          <w:i/>
          <w:iCs w:val="0"/>
        </w:rPr>
        <w:t>n</w:t>
      </w:r>
      <w:r w:rsidRPr="00EC1C70">
        <w:rPr>
          <w:i/>
          <w:iCs w:val="0"/>
        </w:rPr>
        <w:t>wendbare Verfahrens-Statut einschließlich Kostenordnung auf Grundlage des bei Ei</w:t>
      </w:r>
      <w:r w:rsidRPr="00EC1C70">
        <w:rPr>
          <w:i/>
          <w:iCs w:val="0"/>
        </w:rPr>
        <w:t>n</w:t>
      </w:r>
      <w:r w:rsidRPr="00EC1C70">
        <w:rPr>
          <w:i/>
          <w:iCs w:val="0"/>
        </w:rPr>
        <w:t>leitung eines Schiedsverfahrens geltenden Statuts nebst Kostenordnung. Die Beteili</w:t>
      </w:r>
      <w:r w:rsidRPr="00EC1C70">
        <w:rPr>
          <w:i/>
          <w:iCs w:val="0"/>
        </w:rPr>
        <w:t>g</w:t>
      </w:r>
      <w:r w:rsidRPr="00EC1C70">
        <w:rPr>
          <w:i/>
          <w:iCs w:val="0"/>
        </w:rPr>
        <w:t>ten verzichten auf den Zugang der entsprechenden Erklärung des Sekretärs.</w:t>
      </w:r>
    </w:p>
    <w:p w:rsidR="00EC1C70" w:rsidRPr="00EC1C70" w:rsidRDefault="00EC1C70" w:rsidP="00EC1C70">
      <w:pPr>
        <w:pStyle w:val="berschrift1"/>
        <w:ind w:right="0"/>
        <w:rPr>
          <w:i/>
          <w:iCs w:val="0"/>
        </w:rPr>
      </w:pPr>
      <w:r w:rsidRPr="00EC1C70">
        <w:rPr>
          <w:i/>
          <w:iCs w:val="0"/>
        </w:rPr>
        <w:t>Der SGH entscheidet auch über seine eigene Zuständigkeit und im Zusammenhang hiermit über das Best</w:t>
      </w:r>
      <w:r w:rsidRPr="00EC1C70">
        <w:rPr>
          <w:i/>
          <w:iCs w:val="0"/>
        </w:rPr>
        <w:t>e</w:t>
      </w:r>
      <w:r w:rsidRPr="00EC1C70">
        <w:rPr>
          <w:i/>
          <w:iCs w:val="0"/>
        </w:rPr>
        <w:t>hen oder die Gültigkeit dieser Schiedsvereinbarung. Der SGH ist insbesondere auch zuständig für Maßna</w:t>
      </w:r>
      <w:r w:rsidRPr="00EC1C70">
        <w:rPr>
          <w:i/>
          <w:iCs w:val="0"/>
        </w:rPr>
        <w:t>h</w:t>
      </w:r>
      <w:r w:rsidRPr="00EC1C70">
        <w:rPr>
          <w:i/>
          <w:iCs w:val="0"/>
        </w:rPr>
        <w:t>men des einstweiligen Rechtsschutzes in vorgenanntem Bereich.</w:t>
      </w:r>
    </w:p>
    <w:sectPr w:rsidR="00EC1C70" w:rsidRPr="00EC1C70">
      <w:headerReference w:type="even" r:id="rId7"/>
      <w:headerReference w:type="default" r:id="rId8"/>
      <w:footerReference w:type="first" r:id="rId9"/>
      <w:pgSz w:w="11906" w:h="16838" w:code="9"/>
      <w:pgMar w:top="1418" w:right="1134" w:bottom="1134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DD" w:rsidRDefault="000217DD">
      <w:r>
        <w:separator/>
      </w:r>
    </w:p>
  </w:endnote>
  <w:endnote w:type="continuationSeparator" w:id="0">
    <w:p w:rsidR="000217DD" w:rsidRDefault="000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B7" w:rsidRDefault="00E50EB7">
    <w:pPr>
      <w:pStyle w:val="Fuzeile"/>
    </w:pPr>
    <w:r>
      <w:rPr>
        <w:sz w:val="18"/>
      </w:rPr>
      <w:fldChar w:fldCharType="begin"/>
    </w:r>
    <w:r>
      <w:rPr>
        <w:sz w:val="18"/>
      </w:rPr>
      <w:instrText xml:space="preserve"> FILENAME \p </w:instrText>
    </w:r>
    <w:r>
      <w:rPr>
        <w:sz w:val="18"/>
      </w:rPr>
      <w:fldChar w:fldCharType="separate"/>
    </w:r>
    <w:r w:rsidR="005F1405">
      <w:rPr>
        <w:noProof/>
        <w:sz w:val="18"/>
      </w:rPr>
      <w:t>P:\Daten\A. Verein und GmbH\A.3. Außendarstellung\A.3.1. Homepage\Homepage neue Dateien\SGH\Schiedsklauseln Mai 2013\SchiedsklauselEhevertrag.docx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DD" w:rsidRDefault="000217DD">
      <w:r>
        <w:separator/>
      </w:r>
    </w:p>
  </w:footnote>
  <w:footnote w:type="continuationSeparator" w:id="0">
    <w:p w:rsidR="000217DD" w:rsidRDefault="0002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B7" w:rsidRDefault="00E50EB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0EB7" w:rsidRDefault="00E50E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B7" w:rsidRDefault="00E50EB7">
    <w:pPr>
      <w:pStyle w:val="Kopfzeile"/>
      <w:jc w:val="center"/>
    </w:pPr>
    <w:r>
      <w:t xml:space="preserve">-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t-Version" w:val="1.8"/>
  </w:docVars>
  <w:rsids>
    <w:rsidRoot w:val="00855FF6"/>
    <w:rsid w:val="000217DD"/>
    <w:rsid w:val="00152335"/>
    <w:rsid w:val="00222DDB"/>
    <w:rsid w:val="005F1405"/>
    <w:rsid w:val="006335BB"/>
    <w:rsid w:val="006D06F5"/>
    <w:rsid w:val="007C1493"/>
    <w:rsid w:val="00855FF6"/>
    <w:rsid w:val="00923461"/>
    <w:rsid w:val="00A85D8B"/>
    <w:rsid w:val="00C6350C"/>
    <w:rsid w:val="00E50EB7"/>
    <w:rsid w:val="00E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55FF6"/>
    <w:pPr>
      <w:keepNext/>
      <w:spacing w:before="100" w:beforeAutospacing="1" w:after="100" w:afterAutospacing="1"/>
      <w:ind w:right="1440"/>
      <w:jc w:val="both"/>
      <w:outlineLvl w:val="0"/>
    </w:pPr>
    <w:rPr>
      <w:rFonts w:ascii="Arial" w:hAnsi="Arial" w:cs="Arial"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keepNext/>
      <w:spacing w:line="320" w:lineRule="exact"/>
      <w:jc w:val="both"/>
    </w:pPr>
    <w:rPr>
      <w:rFonts w:ascii="Arial" w:hAnsi="Arial" w:cs="Arial"/>
      <w:i/>
      <w:iCs/>
      <w:sz w:val="26"/>
      <w:szCs w:val="26"/>
    </w:rPr>
  </w:style>
  <w:style w:type="paragraph" w:styleId="Sprechblasentext">
    <w:name w:val="Balloon Text"/>
    <w:basedOn w:val="Standard"/>
    <w:semiHidden/>
    <w:rsid w:val="00855FF6"/>
    <w:rPr>
      <w:rFonts w:ascii="Tahoma" w:hAnsi="Tahoma" w:cs="Tahoma"/>
      <w:sz w:val="16"/>
      <w:szCs w:val="16"/>
    </w:rPr>
  </w:style>
  <w:style w:type="paragraph" w:customStyle="1" w:styleId="10Formulierungsvorschlag">
    <w:name w:val="10 Formulierungsvorschlag"/>
    <w:basedOn w:val="Standard"/>
    <w:uiPriority w:val="99"/>
    <w:rsid w:val="00EC1C70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  <w:jc w:val="both"/>
    </w:pPr>
    <w:rPr>
      <w:i/>
      <w:spacing w:val="-4"/>
      <w:sz w:val="20"/>
    </w:rPr>
  </w:style>
  <w:style w:type="paragraph" w:customStyle="1" w:styleId="10Formulierungsvorschlagberschrift">
    <w:name w:val="10 Formulierungsvorschlag Überschrift"/>
    <w:basedOn w:val="Standard"/>
    <w:next w:val="Standard"/>
    <w:uiPriority w:val="99"/>
    <w:rsid w:val="00EC1C70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</w:pPr>
    <w:rPr>
      <w:rFonts w:ascii="Arial" w:hAnsi="Arial"/>
      <w:b/>
      <w:spacing w:val="-1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55FF6"/>
    <w:pPr>
      <w:keepNext/>
      <w:spacing w:before="100" w:beforeAutospacing="1" w:after="100" w:afterAutospacing="1"/>
      <w:ind w:right="1440"/>
      <w:jc w:val="both"/>
      <w:outlineLvl w:val="0"/>
    </w:pPr>
    <w:rPr>
      <w:rFonts w:ascii="Arial" w:hAnsi="Arial" w:cs="Arial"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keepNext/>
      <w:spacing w:line="320" w:lineRule="exact"/>
      <w:jc w:val="both"/>
    </w:pPr>
    <w:rPr>
      <w:rFonts w:ascii="Arial" w:hAnsi="Arial" w:cs="Arial"/>
      <w:i/>
      <w:iCs/>
      <w:sz w:val="26"/>
      <w:szCs w:val="26"/>
    </w:rPr>
  </w:style>
  <w:style w:type="paragraph" w:styleId="Sprechblasentext">
    <w:name w:val="Balloon Text"/>
    <w:basedOn w:val="Standard"/>
    <w:semiHidden/>
    <w:rsid w:val="00855FF6"/>
    <w:rPr>
      <w:rFonts w:ascii="Tahoma" w:hAnsi="Tahoma" w:cs="Tahoma"/>
      <w:sz w:val="16"/>
      <w:szCs w:val="16"/>
    </w:rPr>
  </w:style>
  <w:style w:type="paragraph" w:customStyle="1" w:styleId="10Formulierungsvorschlag">
    <w:name w:val="10 Formulierungsvorschlag"/>
    <w:basedOn w:val="Standard"/>
    <w:uiPriority w:val="99"/>
    <w:rsid w:val="00EC1C70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  <w:jc w:val="both"/>
    </w:pPr>
    <w:rPr>
      <w:i/>
      <w:spacing w:val="-4"/>
      <w:sz w:val="20"/>
    </w:rPr>
  </w:style>
  <w:style w:type="paragraph" w:customStyle="1" w:styleId="10Formulierungsvorschlagberschrift">
    <w:name w:val="10 Formulierungsvorschlag Überschrift"/>
    <w:basedOn w:val="Standard"/>
    <w:next w:val="Standard"/>
    <w:uiPriority w:val="99"/>
    <w:rsid w:val="00EC1C70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</w:pPr>
    <w:rPr>
      <w:rFonts w:ascii="Arial" w:hAnsi="Arial"/>
      <w:b/>
      <w:spacing w:val="-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Notariat Dr. Vossius und Dr. Engel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Def</dc:creator>
  <cp:lastModifiedBy>C. Vonhof-Stolz | DNotV</cp:lastModifiedBy>
  <cp:revision>2</cp:revision>
  <cp:lastPrinted>2013-05-29T10:02:00Z</cp:lastPrinted>
  <dcterms:created xsi:type="dcterms:W3CDTF">2013-05-29T10:07:00Z</dcterms:created>
  <dcterms:modified xsi:type="dcterms:W3CDTF">2013-05-29T10:07:00Z</dcterms:modified>
</cp:coreProperties>
</file>